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931F0F" w:rsidP="00931F0F">
      <w:pPr>
        <w:widowControl/>
        <w:bidi w:val="0"/>
        <w:spacing w:after="240"/>
        <w:ind w:left="57" w:right="57"/>
        <w:jc w:val="center"/>
        <w:rPr>
          <w:rFonts w:ascii="Times New Roman" w:eastAsia="Times New Roman" w:hAnsi="Times New Roman" w:cs="Times New Roman"/>
          <w:b/>
          <w:bCs/>
        </w:rPr>
      </w:pPr>
      <w:r w:rsidRPr="00931F0F">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7504E1">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931F0F">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931F0F">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931F0F" w:rsidP="002F1101">
            <w:pPr>
              <w:widowControl/>
              <w:bidi w:val="0"/>
              <w:spacing w:before="48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 xml:space="preserve">Voting results: </w:t>
            </w:r>
          </w:p>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b/>
                <w:bCs/>
                <w:rtl w:val="0"/>
                <w:lang w:val="en-US"/>
              </w:rPr>
              <w:t xml:space="preserve">on item No. 1 </w:t>
            </w:r>
            <w:r w:rsidRPr="00931F0F">
              <w:rPr>
                <w:rFonts w:ascii="Times New Roman" w:eastAsia="Times New Roman" w:hAnsi="Times New Roman" w:cs="Times New Roman"/>
                <w:rtl w:val="0"/>
                <w:lang w:val="en-US"/>
              </w:rPr>
              <w:t>of the agenda:</w:t>
            </w:r>
          </w:p>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“In favor” - 9 votes;</w:t>
            </w:r>
          </w:p>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“Against” - 2 votes;</w:t>
            </w:r>
          </w:p>
          <w:p w:rsidR="00931F0F" w:rsidRPr="00931F0F" w:rsidP="002F1101">
            <w:pPr>
              <w:widowControl/>
              <w:bidi w:val="0"/>
              <w:spacing w:after="48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“Abstained” - 0 votes;</w:t>
            </w:r>
          </w:p>
        </w:tc>
      </w:tr>
      <w:tr w:rsidTr="00931F0F">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31F0F" w:rsidRPr="00931F0F" w:rsidP="00931F0F">
            <w:pPr>
              <w:widowControl/>
              <w:bidi w:val="0"/>
              <w:ind w:left="57" w:right="57"/>
              <w:jc w:val="center"/>
              <w:rPr>
                <w:rFonts w:ascii="Times New Roman" w:eastAsia="Times New Roman" w:hAnsi="Times New Roman" w:cs="Times New Roman"/>
              </w:rPr>
            </w:pPr>
            <w:r w:rsidRPr="00931F0F">
              <w:rPr>
                <w:rFonts w:ascii="Times New Roman" w:eastAsia="Times New Roman" w:hAnsi="Times New Roman" w:cs="Times New Roman"/>
                <w:b/>
                <w:bCs/>
                <w:rtl w:val="0"/>
                <w:lang w:val="en-US"/>
              </w:rPr>
              <w:t>Disclosure of insider information on item No. 1: "On determination of cases (sizes) of transactions with property subject to prior approval by the Company's Board of Directors."</w:t>
            </w:r>
          </w:p>
        </w:tc>
      </w:tr>
      <w:tr w:rsidTr="00931F0F">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2.2.1</w:t>
              <w:tab/>
              <w:t>Content of the resolution adopted by the Issuer’s Board of Directors: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w:t>
              <w:tab/>
              <w:t>To establish that in accordance with subclause 39 ("b", "c", "d") clause 15.1 of Article 15 of the Charter of PJSC "IDGC of the South", preliminary approval by the Board of Directors shall be subject to decisions on the Company of:</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1.1.</w:t>
              <w:tab/>
              <w:t>transactions (including several related transactions) related to acquisition regardless of book value or market value:</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1.1.1.</w:t>
              <w:tab/>
              <w:t>objects of electric power industry</w:t>
            </w:r>
            <w:r w:rsidRPr="00931F0F">
              <w:rPr>
                <w:rFonts w:ascii="Times New Roman" w:eastAsia="Times New Roman" w:hAnsi="Times New Roman" w:cs="Times New Roman"/>
                <w:vertAlign w:val="superscript"/>
                <w:rtl w:val="0"/>
                <w:lang w:val="en-US"/>
              </w:rPr>
              <w:t>1</w:t>
            </w:r>
            <w:r>
              <w:rPr>
                <w:rStyle w:val="FootnoteReference"/>
                <w:rFonts w:ascii="Times New Roman" w:eastAsia="Times New Roman" w:hAnsi="Times New Roman" w:cs="Times New Roman"/>
              </w:rPr>
              <w:footnoteReference w:id="2"/>
            </w:r>
            <w:r w:rsidRPr="00931F0F">
              <w:rPr>
                <w:rFonts w:ascii="Times New Roman" w:eastAsia="Times New Roman" w:hAnsi="Times New Roman" w:cs="Times New Roman"/>
                <w:rtl w:val="0"/>
                <w:lang w:val="en-US"/>
              </w:rPr>
              <w:t xml:space="preserve"> that are in operation, withdrawn for repair or from operation, except for:</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purchased on the account of fees for technological connection to the electric grid facilities of the Company under contracts for the implementation of technological connection under individual projects in accordance with the technical conditions;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included in the established procedure in the Company's investment program, the purchase price of which is 30 million rubles. (without VAT) and less, if the Criteria for making decisions on the projects for the consolidation of electric grid assets, set out in subclauses 2-10 of Appendix No. 1 to this resolution of the Company's Board of Directors;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purchased on a gratuitous basis, while following the Criteria for making decisions on the projects for the consolidation of electric grid assets, set out in subclauses. 2-4, 6-10 of Appendix No. 1 to this resolution of the Company's Board of Directors;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purchased exclusively on the account of debt repayment under operative-technological services contracts through conclusion of agreements on compensation, while following the Criteria for making decisions on the projects for the consolidation of electric grid assets, set out in subclauses 1-10 of Appendix No. 1 to this decision of the of the Company's Board of Directors.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1.1.2.</w:t>
              <w:tab/>
              <w:t>objects of real estate property that are not related to the objects of electric power industry, regardless of the purposes of use (designation), except for land plots: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 xml:space="preserve"> the acquisition of which is carried out in accordance with Articles 2 and 3 of Federal Law No. 137-FL of October 25, 2001 "On the Enactment of the Land Code of the Russian Federation";</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 xml:space="preserve"> acquisition of which is carried out in accordance with investment projects for the building (reconstruction) of electric power facilities, including after their commissioning, including the acquisition costs to the Company's Investment Program;</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1.1.3.</w:t>
              <w:tab/>
              <w:t>objects of unfinished building;</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1.1.4.</w:t>
              <w:tab/>
              <w:t>intangible assets.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1.2.</w:t>
              <w:tab/>
              <w:t>transactions for a period of more than 5 years for the transfer to temporary possession and use or temporary use of real estate, electric grid facilities or for temporary possession and use or temporary use of real property, the purpose of which is not transmission, distribution of electricity, in cases, if the balance or market value of the transferred or received property exceeds 30 million rubles, except for cases of receiving to temporary possession and use or temporary use:</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land plots for operation or for building (reconstruction) of electric power facilities in accordance with investment projects, as well as land plots under the real estate objects of the Company;</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w:t>
              <w:tab/>
              <w:t>electric grid facilities, implemented in accordance with clauses 6 - 8 of Article 8 of the Federal Law of March 26, 2003, No. 35-FL "On Electric Power Industry".</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w:t>
              <w:tab/>
              <w:t>To instruct the General Director of the Company:</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2.1.</w:t>
              <w:tab/>
              <w:t>Quarterly submit to the Board of Directors a report on the acquisition of electric power facilities whose approval is not required by the Board of Directors in accordance with clause 1 of this resolution, with providing the information on the compliance of the transaction to the Criteria for making decisions on the projects for the consolidation of electric grid assets specified in Appendix No. 1 to the present resolution of the Company's Board of Directors. The report is submitted simultaneously with the report on the implementation of the Company's Investment Program.</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2.2.</w:t>
              <w:tab/>
              <w:t>Ensure the achievement of effects from the implementation of transactions specified in clause 2.1. of this resolution.</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2.3.</w:t>
              <w:tab/>
              <w:t xml:space="preserve">Upon the fact of the transaction, submit for consideration by the Board of Directors simultaneously with the Report on the execution of the SAC Business Plan for the year following the year of the transaction, the final analysis of the compliance of the parameters of the transaction to the decision criteria for the projects for the consolidation of electric grid assets specified in Appendix No. 1 to </w:t>
            </w:r>
            <w:bookmarkStart w:id="0" w:name="_GoBack"/>
            <w:bookmarkEnd w:id="0"/>
            <w:r w:rsidRPr="00931F0F">
              <w:rPr>
                <w:rFonts w:ascii="Times New Roman" w:eastAsia="Times New Roman" w:hAnsi="Times New Roman" w:cs="Times New Roman"/>
                <w:rtl w:val="0"/>
                <w:lang w:val="en-US"/>
              </w:rPr>
              <w:t>this resolution of the Company's Board of Directors.</w:t>
            </w:r>
          </w:p>
          <w:p w:rsidR="00931F0F" w:rsidRPr="00931F0F" w:rsidP="00931F0F">
            <w:pPr>
              <w:widowControl/>
              <w:bidi w:val="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3.</w:t>
              <w:tab/>
              <w:t>To recognize as invalid clauses 1 and 2 of the resolution of the Board of Directors of PJSC "IDGC of the South" from 26.11.2010 (minutes dated November 26, 2010, №56/2010) on item No. 22 "On determining of cases (sizes) of deals with property subject to preliminary approval by the Board of Directors."</w:t>
            </w:r>
          </w:p>
          <w:p w:rsidR="00931F0F" w:rsidRPr="00931F0F" w:rsidP="00931F0F">
            <w:pPr>
              <w:widowControl/>
              <w:bidi w:val="0"/>
              <w:spacing w:after="240"/>
              <w:ind w:left="57" w:right="57" w:firstLine="640"/>
              <w:jc w:val="both"/>
              <w:rPr>
                <w:rFonts w:ascii="Times New Roman" w:eastAsia="Times New Roman" w:hAnsi="Times New Roman" w:cs="Times New Roman"/>
              </w:rPr>
            </w:pPr>
            <w:r w:rsidRPr="00931F0F">
              <w:rPr>
                <w:rFonts w:ascii="Times New Roman" w:eastAsia="Times New Roman" w:hAnsi="Times New Roman" w:cs="Times New Roman"/>
                <w:rtl w:val="0"/>
                <w:lang w:val="en-US"/>
              </w:rPr>
              <w:t>4.</w:t>
              <w:tab/>
              <w:t>To recognize as invalid the resolution of the Board of Directors of PJSC "IDGC of the South" dated October 05, 2015 (Minutes dated October 08, 2015, No. 167/2015) on issue No. 8 "on determination of cases (sizes) of transactions, the decisions on which are subject to preliminary approval by the of the Company's Board of Directors".</w:t>
            </w:r>
          </w:p>
        </w:tc>
      </w:tr>
      <w:tr w:rsidTr="00931F0F">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931F0F">
              <w:rPr>
                <w:rFonts w:ascii="Times New Roman" w:eastAsia="Times New Roman" w:hAnsi="Times New Roman" w:cs="Times New Roman"/>
                <w:b/>
                <w:bCs/>
                <w:i/>
                <w:iCs/>
                <w:rtl w:val="0"/>
                <w:lang w:val="en-US"/>
              </w:rPr>
              <w:t>April 27, 2018.</w:t>
            </w:r>
          </w:p>
          <w:p w:rsidR="00931F0F" w:rsidRPr="00931F0F" w:rsidP="00931F0F">
            <w:pPr>
              <w:widowControl/>
              <w:bidi w:val="0"/>
              <w:ind w:left="57" w:right="57"/>
              <w:jc w:val="both"/>
              <w:rPr>
                <w:rFonts w:ascii="Times New Roman" w:eastAsia="Times New Roman" w:hAnsi="Times New Roman" w:cs="Times New Roman"/>
              </w:rPr>
            </w:pPr>
            <w:r w:rsidRPr="00931F0F">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931F0F">
              <w:rPr>
                <w:rFonts w:ascii="Times New Roman" w:eastAsia="Times New Roman" w:hAnsi="Times New Roman" w:cs="Times New Roman"/>
                <w:b/>
                <w:bCs/>
                <w:i/>
                <w:iCs/>
                <w:rtl w:val="0"/>
                <w:lang w:val="en-US"/>
              </w:rPr>
              <w:t>May 3, 2018, Minutes No. 271/2018.</w:t>
            </w:r>
          </w:p>
        </w:tc>
      </w:tr>
      <w:tr w:rsidTr="00C61195">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931F0F">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May 03,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931F0F">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6F5"/>
  </w:footnote>
  <w:footnote w:type="continuationSeparator" w:id="1">
    <w:p w:rsidR="00F946F5"/>
  </w:footnote>
  <w:footnote w:id="2">
    <w:p w:rsidR="00931F0F" w:rsidRPr="00931F0F">
      <w:pPr>
        <w:pStyle w:val="FootnoteText"/>
        <w:bidi w:val="0"/>
        <w:rPr>
          <w:rFonts w:ascii="Times New Roman" w:hAnsi="Times New Roman" w:cs="Times New Roman"/>
        </w:rPr>
      </w:pPr>
      <w:r>
        <w:rPr>
          <w:rFonts w:ascii="Times New Roman" w:hAnsi="Times New Roman" w:cs="Times New Roman"/>
          <w:rtl w:val="0"/>
          <w:lang w:val="en-US"/>
        </w:rPr>
        <w:t>_____________________________</w:t>
        <w:br/>
      </w:r>
      <w:r w:rsidRPr="00931F0F">
        <w:rPr>
          <w:rStyle w:val="FootnoteReference"/>
          <w:rFonts w:ascii="Times New Roman" w:hAnsi="Times New Roman" w:cs="Times New Roman"/>
        </w:rPr>
        <w:footnoteRef/>
      </w:r>
      <w:r>
        <w:rPr>
          <w:rFonts w:ascii="Times New Roman" w:hAnsi="Times New Roman" w:cs="Times New Roman"/>
          <w:rtl w:val="0"/>
          <w:lang w:val="en-US"/>
        </w:rPr>
        <w:t xml:space="preserve"> including objects, the output in repair or out of service of which  was carried out (issued) not in accordance with the established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81"/>
  <w:drawingGridVerticalSpacing w:val="181"/>
  <w:characterSpacingControl w:val="compressPunctuation"/>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2CFE-EE6E-468F-B7E8-FA330F9F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2018-05-24T07:18:00Z</dcterms:created>
  <dcterms:modified xsi:type="dcterms:W3CDTF">2018-05-24T07:25:00Z</dcterms:modified>
</cp:coreProperties>
</file>